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0F419" w14:textId="77777777" w:rsidR="008D5BE9" w:rsidRPr="008D5BE9" w:rsidRDefault="008D5BE9" w:rsidP="008D5BE9">
      <w:pPr>
        <w:spacing w:before="100" w:beforeAutospacing="1" w:after="100" w:afterAutospacing="1"/>
        <w:jc w:val="center"/>
        <w:rPr>
          <w:rFonts w:ascii="Times New Roman" w:eastAsia="Times New Roman" w:hAnsi="Times New Roman" w:cs="Times New Roman"/>
          <w:b/>
          <w:sz w:val="32"/>
          <w:szCs w:val="32"/>
          <w:lang w:eastAsia="fr-FR"/>
        </w:rPr>
      </w:pPr>
      <w:bookmarkStart w:id="0" w:name="_GoBack"/>
      <w:bookmarkEnd w:id="0"/>
      <w:r w:rsidRPr="008D5BE9">
        <w:rPr>
          <w:rFonts w:ascii="Times New Roman" w:eastAsia="Times New Roman" w:hAnsi="Times New Roman" w:cs="Times New Roman"/>
          <w:b/>
          <w:sz w:val="32"/>
          <w:szCs w:val="32"/>
          <w:lang w:eastAsia="fr-FR"/>
        </w:rPr>
        <w:t xml:space="preserve">Extrait du code annoté </w:t>
      </w:r>
      <w:proofErr w:type="spellStart"/>
      <w:r w:rsidRPr="008D5BE9">
        <w:rPr>
          <w:rFonts w:ascii="Times New Roman" w:eastAsia="Times New Roman" w:hAnsi="Times New Roman" w:cs="Times New Roman"/>
          <w:b/>
          <w:sz w:val="32"/>
          <w:szCs w:val="32"/>
          <w:lang w:eastAsia="fr-FR"/>
        </w:rPr>
        <w:t>Lavauzelle</w:t>
      </w:r>
      <w:proofErr w:type="spellEnd"/>
      <w:r w:rsidRPr="008D5BE9">
        <w:rPr>
          <w:rFonts w:ascii="Times New Roman" w:eastAsia="Times New Roman" w:hAnsi="Times New Roman" w:cs="Times New Roman"/>
          <w:b/>
          <w:sz w:val="32"/>
          <w:szCs w:val="32"/>
          <w:lang w:eastAsia="fr-FR"/>
        </w:rPr>
        <w:t>, pages 342-343, relatif à l’absence d’assimilation du temps passé en captivité à un temps de service en unité combattante, pour les prisonniers de guerre.</w:t>
      </w:r>
    </w:p>
    <w:p w14:paraId="11812625" w14:textId="77777777" w:rsidR="00C72B57" w:rsidRDefault="008D5BE9" w:rsidP="009675E2">
      <w:pPr>
        <w:shd w:val="clear" w:color="auto" w:fill="F2F2F2" w:themeFill="background1" w:themeFillShade="F2"/>
        <w:jc w:val="both"/>
      </w:pPr>
      <w:r>
        <w:t>« Suivant une jurisprudence constante, le temps passé en captivité n’est pas considéré comme assimilable au service dans une unité combattante, même si le militaire fait prisonnier est titulaire de la carte du combattant (C.E. arrêt M. du 6/07/1938, C. du 26/05/1954, M. n°14769 du 19/04/1961).</w:t>
      </w:r>
    </w:p>
    <w:p w14:paraId="22A122B9" w14:textId="77777777" w:rsidR="009F78E7" w:rsidRDefault="009F78E7" w:rsidP="009675E2">
      <w:pPr>
        <w:shd w:val="clear" w:color="auto" w:fill="F2F2F2" w:themeFill="background1" w:themeFillShade="F2"/>
        <w:jc w:val="both"/>
      </w:pPr>
      <w:r>
        <w:t>De la combinaison de ce principe avec les diverses conditions d’application des articles L.36 et L.37, il résulte que les prisonniers de guerre, sous réserve qu’ils soient titulaires de la carte du combattant pour les périodes de guerre, ne peuvent bénéficier du statut que dans un nombre de cas limités :</w:t>
      </w:r>
    </w:p>
    <w:p w14:paraId="1ABDDF69" w14:textId="77777777" w:rsidR="009F78E7" w:rsidRDefault="009F78E7" w:rsidP="009675E2">
      <w:pPr>
        <w:shd w:val="clear" w:color="auto" w:fill="F2F2F2" w:themeFill="background1" w:themeFillShade="F2"/>
        <w:jc w:val="both"/>
      </w:pPr>
      <w:r>
        <w:tab/>
        <w:t>1° Les infirmités contractées en dehors de la captivité peuvent ouvrir droit à l’article L.36 si elles découlent de blessure de guerre ou en service commandé ou à l’article L.37 s’il s’agit de blessures ou de maladie contractées dans une unité combattante ou d’affections pensionnées au titre de victime civile ou ouvrant droit à l’article 30.</w:t>
      </w:r>
    </w:p>
    <w:p w14:paraId="01308E93" w14:textId="77777777" w:rsidR="009F78E7" w:rsidRPr="008D5BE9" w:rsidRDefault="009F78E7" w:rsidP="009675E2">
      <w:pPr>
        <w:shd w:val="clear" w:color="auto" w:fill="F2F2F2" w:themeFill="background1" w:themeFillShade="F2"/>
        <w:jc w:val="both"/>
      </w:pPr>
      <w:r>
        <w:tab/>
        <w:t>2° Les infirmités contractées en captivité ouvrent droit au bénéfice de l’article 37, soit lorsqu’elles résultent de blessures ou d’accidents (Cour régionale des pensions de Nîmes arrêt S-J du 25/06/</w:t>
      </w:r>
      <w:r w:rsidR="00A770FC">
        <w:t>1957, C.E. X n°17045 du 22/12/1965), mais en aucun cas ne donnent droit au bénéfice de l’article L.36 (même arrêt).</w:t>
      </w:r>
      <w:r w:rsidR="009675E2">
        <w:t> »</w:t>
      </w:r>
      <w:r>
        <w:t xml:space="preserve"> </w:t>
      </w:r>
    </w:p>
    <w:sectPr w:rsidR="009F78E7" w:rsidRPr="008D5BE9" w:rsidSect="0017216F">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B073DB"/>
    <w:multiLevelType w:val="multilevel"/>
    <w:tmpl w:val="D8A6C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BE9"/>
    <w:rsid w:val="0017216F"/>
    <w:rsid w:val="008D5BE9"/>
    <w:rsid w:val="009675E2"/>
    <w:rsid w:val="009F78E7"/>
    <w:rsid w:val="00A770FC"/>
    <w:rsid w:val="00C72B57"/>
    <w:rsid w:val="00DC31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EDA870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0341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223</Words>
  <Characters>1231</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Véronique de Tienda-Jouhet</dc:creator>
  <cp:keywords/>
  <dc:description/>
  <cp:lastModifiedBy>Véronique de Tienda-Jouhet</cp:lastModifiedBy>
  <cp:revision>2</cp:revision>
  <dcterms:created xsi:type="dcterms:W3CDTF">2018-05-02T16:14:00Z</dcterms:created>
  <dcterms:modified xsi:type="dcterms:W3CDTF">2018-05-02T16:14:00Z</dcterms:modified>
</cp:coreProperties>
</file>